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C1" w:rsidRDefault="00420ED4">
      <w:pPr>
        <w:widowControl/>
        <w:shd w:val="clear" w:color="auto" w:fill="FFFFFF"/>
        <w:jc w:val="center"/>
        <w:rPr>
          <w:rFonts w:ascii="黑体" w:eastAsia="黑体" w:hAnsi="黑体" w:cs="Arial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Arial"/>
          <w:b/>
          <w:kern w:val="0"/>
          <w:sz w:val="30"/>
          <w:szCs w:val="30"/>
        </w:rPr>
        <w:t>第</w:t>
      </w:r>
      <w:r>
        <w:rPr>
          <w:rFonts w:ascii="黑体" w:eastAsia="黑体" w:hAnsi="黑体" w:cs="Arial" w:hint="eastAsia"/>
          <w:b/>
          <w:kern w:val="0"/>
          <w:sz w:val="30"/>
          <w:szCs w:val="30"/>
        </w:rPr>
        <w:t>二十</w:t>
      </w:r>
      <w:r>
        <w:rPr>
          <w:rFonts w:ascii="黑体" w:eastAsia="黑体" w:hAnsi="黑体" w:cs="Arial"/>
          <w:b/>
          <w:kern w:val="0"/>
          <w:sz w:val="30"/>
          <w:szCs w:val="30"/>
        </w:rPr>
        <w:t>届广西高校教育教学信息化大赛</w:t>
      </w:r>
    </w:p>
    <w:p w:rsidR="00672CC1" w:rsidRDefault="00420ED4">
      <w:pPr>
        <w:widowControl/>
        <w:shd w:val="clear" w:color="auto" w:fill="FFFFFF"/>
        <w:jc w:val="center"/>
        <w:rPr>
          <w:rFonts w:ascii="黑体" w:eastAsia="黑体" w:hAnsi="黑体" w:cs="Arial"/>
          <w:b/>
          <w:kern w:val="0"/>
          <w:sz w:val="30"/>
          <w:szCs w:val="30"/>
        </w:rPr>
      </w:pPr>
      <w:r>
        <w:rPr>
          <w:rFonts w:ascii="黑体" w:eastAsia="黑体" w:hAnsi="黑体" w:cs="Arial"/>
          <w:b/>
          <w:kern w:val="0"/>
          <w:sz w:val="30"/>
          <w:szCs w:val="30"/>
        </w:rPr>
        <w:t>各赛项评分标准</w:t>
      </w:r>
    </w:p>
    <w:p w:rsidR="00672CC1" w:rsidRDefault="00420ED4">
      <w:pPr>
        <w:widowControl/>
        <w:shd w:val="clear" w:color="auto" w:fill="FFFFFF"/>
        <w:jc w:val="left"/>
        <w:rPr>
          <w:rFonts w:ascii="仿宋" w:eastAsia="仿宋" w:hAnsi="仿宋" w:cs="Arial"/>
          <w:kern w:val="0"/>
          <w:sz w:val="24"/>
          <w:szCs w:val="24"/>
        </w:rPr>
      </w:pPr>
      <w:r>
        <w:rPr>
          <w:rFonts w:ascii="仿宋" w:eastAsia="仿宋" w:hAnsi="仿宋" w:cs="Arial"/>
          <w:kern w:val="0"/>
          <w:sz w:val="24"/>
          <w:szCs w:val="24"/>
        </w:rPr>
        <w:t>一、虚拟仿真</w:t>
      </w:r>
      <w:r>
        <w:rPr>
          <w:rFonts w:ascii="仿宋" w:eastAsia="仿宋" w:hAnsi="仿宋" w:cs="Arial" w:hint="eastAsia"/>
          <w:kern w:val="0"/>
          <w:sz w:val="24"/>
          <w:szCs w:val="24"/>
        </w:rPr>
        <w:t>作品</w:t>
      </w:r>
      <w:r>
        <w:rPr>
          <w:rFonts w:ascii="仿宋" w:eastAsia="仿宋" w:hAnsi="仿宋" w:cs="Arial"/>
          <w:kern w:val="0"/>
          <w:sz w:val="24"/>
          <w:szCs w:val="24"/>
        </w:rPr>
        <w:t>评分标准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5245"/>
        <w:gridCol w:w="901"/>
      </w:tblGrid>
      <w:tr w:rsidR="00672CC1">
        <w:tc>
          <w:tcPr>
            <w:tcW w:w="1526" w:type="dxa"/>
            <w:vAlign w:val="center"/>
          </w:tcPr>
          <w:p w:rsidR="00672CC1" w:rsidRDefault="00420ED4">
            <w:pPr>
              <w:widowControl/>
              <w:shd w:val="clear" w:color="auto" w:fill="FFFFFF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评选指标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分值</w:t>
            </w:r>
          </w:p>
        </w:tc>
        <w:tc>
          <w:tcPr>
            <w:tcW w:w="5245" w:type="dxa"/>
            <w:vAlign w:val="center"/>
          </w:tcPr>
          <w:p w:rsidR="00672CC1" w:rsidRDefault="00420ED4">
            <w:pPr>
              <w:widowControl/>
              <w:shd w:val="clear" w:color="auto" w:fill="FFFFFF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评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价</w:t>
            </w: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要素</w:t>
            </w:r>
          </w:p>
        </w:tc>
        <w:tc>
          <w:tcPr>
            <w:tcW w:w="901" w:type="dxa"/>
            <w:vAlign w:val="center"/>
          </w:tcPr>
          <w:p w:rsidR="00672CC1" w:rsidRDefault="00420ED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评分</w:t>
            </w: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教学定位</w:t>
            </w:r>
          </w:p>
          <w:p w:rsidR="00672CC1" w:rsidRDefault="00420ED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与目标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245" w:type="dxa"/>
            <w:vAlign w:val="center"/>
          </w:tcPr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教学目标明确</w:t>
            </w:r>
            <w:r>
              <w:rPr>
                <w:rFonts w:ascii="仿宋" w:eastAsia="仿宋" w:hAnsi="仿宋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相互关联，重点突出</w:t>
            </w:r>
            <w:r>
              <w:rPr>
                <w:rFonts w:ascii="仿宋" w:eastAsia="仿宋" w:hAnsi="仿宋"/>
                <w:sz w:val="24"/>
                <w:szCs w:val="24"/>
              </w:rPr>
              <w:t>，教学策略得当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有利于培养学生的学习能力和信息素养，给学习者有沉浸式的直观体验，有身临其境和强烈的实操代入感。</w:t>
            </w:r>
          </w:p>
        </w:tc>
        <w:tc>
          <w:tcPr>
            <w:tcW w:w="901" w:type="dxa"/>
            <w:vAlign w:val="center"/>
          </w:tcPr>
          <w:p w:rsidR="00672CC1" w:rsidRDefault="00672CC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教学设计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5245" w:type="dxa"/>
            <w:vAlign w:val="center"/>
          </w:tcPr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．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教学设计遵循有效教学的基本规律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．</w:t>
            </w:r>
            <w:r>
              <w:rPr>
                <w:rFonts w:ascii="仿宋" w:eastAsia="仿宋" w:hAnsi="仿宋"/>
                <w:sz w:val="24"/>
                <w:szCs w:val="24"/>
              </w:rPr>
              <w:t>界面设计合理，风格统一，有必要的交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互。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．</w:t>
            </w:r>
            <w:r>
              <w:rPr>
                <w:rFonts w:ascii="仿宋" w:eastAsia="仿宋" w:hAnsi="仿宋"/>
                <w:sz w:val="24"/>
                <w:szCs w:val="24"/>
              </w:rPr>
              <w:t>按照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教学设计</w:t>
            </w:r>
            <w:r>
              <w:rPr>
                <w:rFonts w:ascii="仿宋" w:eastAsia="仿宋" w:hAnsi="仿宋"/>
                <w:sz w:val="24"/>
                <w:szCs w:val="24"/>
              </w:rPr>
              <w:t>实施教学，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关注</w:t>
            </w:r>
            <w:r>
              <w:rPr>
                <w:rFonts w:ascii="仿宋" w:eastAsia="仿宋" w:hAnsi="仿宋"/>
                <w:sz w:val="24"/>
                <w:szCs w:val="24"/>
              </w:rPr>
              <w:t>技术技能教学重点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难点的解决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．</w:t>
            </w:r>
            <w:r>
              <w:rPr>
                <w:rFonts w:ascii="仿宋" w:eastAsia="仿宋" w:hAnsi="仿宋"/>
                <w:sz w:val="24"/>
                <w:szCs w:val="24"/>
              </w:rPr>
              <w:t>有清晰的文字介绍和帮助文档。</w:t>
            </w:r>
          </w:p>
        </w:tc>
        <w:tc>
          <w:tcPr>
            <w:tcW w:w="901" w:type="dxa"/>
            <w:vAlign w:val="center"/>
          </w:tcPr>
          <w:p w:rsidR="00672CC1" w:rsidRDefault="00672CC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widowControl/>
              <w:shd w:val="clear" w:color="auto" w:fill="FFFFFF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内容呈现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5245" w:type="dxa"/>
            <w:vAlign w:val="center"/>
          </w:tcPr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/>
                <w:sz w:val="24"/>
                <w:szCs w:val="24"/>
              </w:rPr>
              <w:t>有机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融入思政元素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落实课程思政要求。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/>
                <w:sz w:val="24"/>
                <w:szCs w:val="24"/>
              </w:rPr>
              <w:t>内容丰富、科学，表述准确，术语规范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/>
                <w:sz w:val="24"/>
                <w:szCs w:val="24"/>
              </w:rPr>
              <w:t>素材选用恰当，结构合理。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体验与视觉符合学习者的需求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提供多通道显示设备架构设计，立体投影设备及各类互动硬件，师生能通过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PC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VR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等交互设备进行模拟操作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</w:t>
            </w:r>
            <w:r>
              <w:rPr>
                <w:rFonts w:ascii="仿宋" w:eastAsia="仿宋" w:hAnsi="仿宋"/>
                <w:sz w:val="24"/>
                <w:szCs w:val="24"/>
              </w:rPr>
              <w:t>语言简洁、生动，文字规范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901" w:type="dxa"/>
            <w:vAlign w:val="center"/>
          </w:tcPr>
          <w:p w:rsidR="00672CC1" w:rsidRDefault="00672CC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widowControl/>
              <w:shd w:val="clear" w:color="auto" w:fill="FFFFFF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技术运用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5245" w:type="dxa"/>
            <w:vAlign w:val="center"/>
          </w:tcPr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．</w:t>
            </w:r>
            <w:r>
              <w:rPr>
                <w:rFonts w:ascii="仿宋" w:eastAsia="仿宋" w:hAnsi="仿宋"/>
                <w:sz w:val="24"/>
                <w:szCs w:val="24"/>
              </w:rPr>
              <w:t>运行流畅，操作简便、快捷，媒体播放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可控。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．</w:t>
            </w:r>
            <w:r>
              <w:rPr>
                <w:rFonts w:ascii="仿宋" w:eastAsia="仿宋" w:hAnsi="仿宋"/>
                <w:sz w:val="24"/>
                <w:szCs w:val="24"/>
              </w:rPr>
              <w:t>导航方便合理，路径可选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．</w:t>
            </w:r>
            <w:r>
              <w:rPr>
                <w:rFonts w:ascii="仿宋" w:eastAsia="仿宋" w:hAnsi="仿宋"/>
                <w:sz w:val="24"/>
                <w:szCs w:val="24"/>
              </w:rPr>
              <w:t>新技术运用有效。</w:t>
            </w:r>
          </w:p>
        </w:tc>
        <w:tc>
          <w:tcPr>
            <w:tcW w:w="901" w:type="dxa"/>
            <w:vAlign w:val="center"/>
          </w:tcPr>
          <w:p w:rsidR="00672CC1" w:rsidRDefault="00672CC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widowControl/>
              <w:shd w:val="clear" w:color="auto" w:fill="FFFFFF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创新与实用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245" w:type="dxa"/>
            <w:vAlign w:val="center"/>
          </w:tcPr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立意新颖，具有想象力和个性表现力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能够运用于实际教学中，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具有较大的借鉴和推广价值。</w:t>
            </w:r>
          </w:p>
        </w:tc>
        <w:tc>
          <w:tcPr>
            <w:tcW w:w="901" w:type="dxa"/>
            <w:vAlign w:val="center"/>
          </w:tcPr>
          <w:p w:rsidR="00672CC1" w:rsidRDefault="00672CC1">
            <w:pPr>
              <w:widowControl/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</w:tbl>
    <w:p w:rsidR="00672CC1" w:rsidRDefault="00672CC1">
      <w:pPr>
        <w:widowControl/>
        <w:shd w:val="clear" w:color="auto" w:fill="FFFFFF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:rsidR="00672CC1" w:rsidRDefault="00420ED4">
      <w:pPr>
        <w:widowControl/>
        <w:shd w:val="clear" w:color="auto" w:fill="FFFFFF"/>
        <w:jc w:val="left"/>
        <w:rPr>
          <w:rFonts w:ascii="仿宋" w:eastAsia="仿宋" w:hAnsi="仿宋" w:cs="Arial"/>
          <w:kern w:val="0"/>
          <w:sz w:val="24"/>
          <w:szCs w:val="24"/>
        </w:rPr>
      </w:pPr>
      <w:r>
        <w:rPr>
          <w:rFonts w:ascii="仿宋" w:eastAsia="仿宋" w:hAnsi="仿宋" w:cs="Arial"/>
          <w:kern w:val="0"/>
          <w:sz w:val="24"/>
          <w:szCs w:val="24"/>
        </w:rPr>
        <w:t>二、</w:t>
      </w:r>
      <w:r>
        <w:rPr>
          <w:rFonts w:ascii="仿宋" w:eastAsia="仿宋" w:hAnsi="仿宋" w:cs="Arial" w:hint="eastAsia"/>
          <w:kern w:val="0"/>
          <w:sz w:val="24"/>
          <w:szCs w:val="24"/>
        </w:rPr>
        <w:t>小规模限制性</w:t>
      </w:r>
      <w:r>
        <w:rPr>
          <w:rFonts w:ascii="仿宋" w:eastAsia="仿宋" w:hAnsi="仿宋" w:cs="Arial"/>
          <w:kern w:val="0"/>
          <w:sz w:val="24"/>
          <w:szCs w:val="24"/>
        </w:rPr>
        <w:t>在线课程</w:t>
      </w:r>
      <w:r>
        <w:rPr>
          <w:rFonts w:ascii="仿宋" w:eastAsia="仿宋" w:hAnsi="仿宋" w:cs="Arial" w:hint="eastAsia"/>
          <w:kern w:val="0"/>
          <w:sz w:val="24"/>
          <w:szCs w:val="24"/>
        </w:rPr>
        <w:t>（</w:t>
      </w:r>
      <w:r>
        <w:rPr>
          <w:rFonts w:ascii="仿宋" w:eastAsia="仿宋" w:hAnsi="仿宋" w:cs="Arial" w:hint="eastAsia"/>
          <w:kern w:val="0"/>
          <w:sz w:val="24"/>
          <w:szCs w:val="24"/>
        </w:rPr>
        <w:t>SPOC</w:t>
      </w:r>
      <w:r>
        <w:rPr>
          <w:rFonts w:ascii="仿宋" w:eastAsia="仿宋" w:hAnsi="仿宋" w:cs="Arial" w:hint="eastAsia"/>
          <w:kern w:val="0"/>
          <w:sz w:val="24"/>
          <w:szCs w:val="24"/>
        </w:rPr>
        <w:t>）</w:t>
      </w:r>
      <w:r>
        <w:rPr>
          <w:rFonts w:ascii="仿宋" w:eastAsia="仿宋" w:hAnsi="仿宋" w:cs="Arial"/>
          <w:kern w:val="0"/>
          <w:sz w:val="24"/>
          <w:szCs w:val="24"/>
        </w:rPr>
        <w:t>评分标准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5245"/>
        <w:gridCol w:w="901"/>
      </w:tblGrid>
      <w:tr w:rsidR="00672CC1">
        <w:trPr>
          <w:trHeight w:val="510"/>
        </w:trPr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指标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分值</w:t>
            </w:r>
          </w:p>
        </w:tc>
        <w:tc>
          <w:tcPr>
            <w:tcW w:w="5245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评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价</w:t>
            </w: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要素</w:t>
            </w:r>
          </w:p>
        </w:tc>
        <w:tc>
          <w:tcPr>
            <w:tcW w:w="901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评分</w:t>
            </w: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教学定位</w:t>
            </w:r>
          </w:p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与目标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．对学生有限制性准入条件，达到要求的申请者才能被纳入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SPOC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课程教学（如同班学生）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．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课程教学目标明确，按教学目标</w:t>
            </w:r>
            <w:proofErr w:type="gramStart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实施线</w:t>
            </w:r>
            <w:proofErr w:type="gramEnd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上线下混合式教学。</w:t>
            </w:r>
          </w:p>
        </w:tc>
        <w:tc>
          <w:tcPr>
            <w:tcW w:w="901" w:type="dxa"/>
            <w:vAlign w:val="center"/>
          </w:tcPr>
          <w:p w:rsidR="00672CC1" w:rsidRDefault="00672C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2CC1">
        <w:trPr>
          <w:trHeight w:val="1302"/>
        </w:trPr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教学内容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．</w:t>
            </w:r>
            <w:r>
              <w:rPr>
                <w:rFonts w:ascii="仿宋" w:eastAsia="仿宋" w:hAnsi="仿宋"/>
                <w:sz w:val="24"/>
                <w:szCs w:val="24"/>
              </w:rPr>
              <w:t>有机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融入思政元素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落实课程思政要求。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．</w:t>
            </w:r>
            <w:r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  <w:t>在线课堂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要</w:t>
            </w:r>
            <w:r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  <w:t>完整地覆盖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一门课程的教学章节，</w:t>
            </w:r>
            <w:r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  <w:t>包括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相关的教学内容、负责人介绍、课程介绍、教学大纲、预备知识、教学辅导、参考资料、考核方式、在线作业、在线题库和在线答疑等。</w:t>
            </w:r>
            <w:r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  <w:t>教学内容和风格要贴近课程定位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lastRenderedPageBreak/>
              <w:t>3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．教学内容具应用性和实用性，注意纳入本学科研究前沿，体现课程内容与教学目标对接，教学过程与生产过程对接，强化学生学习能力的培养。</w:t>
            </w:r>
          </w:p>
        </w:tc>
        <w:tc>
          <w:tcPr>
            <w:tcW w:w="901" w:type="dxa"/>
            <w:vAlign w:val="center"/>
          </w:tcPr>
          <w:p w:rsidR="00672CC1" w:rsidRDefault="00672C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教学设计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教学设计遵循有效教学的基本规律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．围绕教学目标精心设计</w:t>
            </w:r>
            <w:r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  <w:t>课前、课中、课后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的教学活动，科学规划在线学习资源，明确学业评价策略和学习激励措施。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．课程设计、教学安排和</w:t>
            </w:r>
            <w:r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  <w:t>课程体验与视觉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效果符合学习者移动学习和混合式教学的需求，</w:t>
            </w:r>
            <w:r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  <w:t>课件或者</w:t>
            </w:r>
            <w:r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  <w:t>PPT</w:t>
            </w:r>
            <w:r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  <w:t>视觉效果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有利于吸引</w:t>
            </w:r>
            <w:r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  <w:t>学习者的注意力。</w:t>
            </w:r>
          </w:p>
        </w:tc>
        <w:tc>
          <w:tcPr>
            <w:tcW w:w="901" w:type="dxa"/>
            <w:vAlign w:val="center"/>
          </w:tcPr>
          <w:p w:rsidR="00672CC1" w:rsidRDefault="00672C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教学资源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．教学资源以学习者为中心，重构资源体系，资源组成碎片化、内在逻辑系统合理。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．基本资源覆盖该课程所有知识点和岗位技能点；拓展资源体现行业发展的前沿技术和最新成果。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．教学资源丰富多样，体现量大面广，实现资源冗余。</w:t>
            </w:r>
          </w:p>
        </w:tc>
        <w:tc>
          <w:tcPr>
            <w:tcW w:w="901" w:type="dxa"/>
            <w:vAlign w:val="center"/>
          </w:tcPr>
          <w:p w:rsidR="00672CC1" w:rsidRDefault="00672C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教学活动与评价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．重视学习任务与活动设计，积极开展案例式、混合式、探究式等多种教学模式的学习，通过在线测试、即时线上辅导反馈、线上线下讨论、线上作业提交和批改、线上社区讨论等，促进师生之间、学生之间进行资源共享、问题交流和协作学习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．建立多元化学习评价体系，</w:t>
            </w:r>
            <w:proofErr w:type="gramStart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探索线</w:t>
            </w:r>
            <w:proofErr w:type="gramEnd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上和线下融合，过程性评价与终结性评价相结合的多元化考核评价模式，促进学生自主性学习、过程性学习和体验式学习。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．重视教学效果的跟踪评价。基于大数据信息采集分析，全程记录和跟踪教师的教学和学生的学习过程、内容、反馈，全面跟踪和掌握每个学生的个性特点、学习行为，改进教学质量，促进因材施教。</w:t>
            </w:r>
          </w:p>
        </w:tc>
        <w:tc>
          <w:tcPr>
            <w:tcW w:w="901" w:type="dxa"/>
            <w:vAlign w:val="center"/>
          </w:tcPr>
          <w:p w:rsidR="00672CC1" w:rsidRDefault="00672C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72CC1" w:rsidRDefault="00672CC1">
      <w:pPr>
        <w:jc w:val="center"/>
        <w:rPr>
          <w:rFonts w:ascii="仿宋" w:eastAsia="仿宋" w:hAnsi="仿宋"/>
          <w:sz w:val="24"/>
          <w:szCs w:val="24"/>
        </w:rPr>
      </w:pPr>
    </w:p>
    <w:p w:rsidR="00672CC1" w:rsidRDefault="00672CC1">
      <w:pPr>
        <w:jc w:val="center"/>
        <w:rPr>
          <w:rFonts w:ascii="仿宋" w:eastAsia="仿宋" w:hAnsi="仿宋"/>
          <w:sz w:val="24"/>
          <w:szCs w:val="24"/>
        </w:rPr>
      </w:pPr>
    </w:p>
    <w:p w:rsidR="00672CC1" w:rsidRDefault="00672CC1">
      <w:pPr>
        <w:jc w:val="center"/>
        <w:rPr>
          <w:rFonts w:ascii="仿宋" w:eastAsia="仿宋" w:hAnsi="仿宋"/>
          <w:sz w:val="24"/>
          <w:szCs w:val="24"/>
        </w:rPr>
      </w:pPr>
    </w:p>
    <w:p w:rsidR="00672CC1" w:rsidRDefault="00420ED4">
      <w:pPr>
        <w:jc w:val="left"/>
        <w:rPr>
          <w:rFonts w:ascii="仿宋" w:eastAsia="仿宋" w:hAnsi="仿宋" w:cs="Arial"/>
          <w:kern w:val="0"/>
          <w:sz w:val="24"/>
          <w:szCs w:val="24"/>
        </w:rPr>
      </w:pPr>
      <w:r>
        <w:rPr>
          <w:rFonts w:ascii="仿宋" w:eastAsia="仿宋" w:hAnsi="仿宋" w:cs="Arial" w:hint="eastAsia"/>
          <w:kern w:val="0"/>
          <w:sz w:val="24"/>
          <w:szCs w:val="24"/>
        </w:rPr>
        <w:t>三、</w:t>
      </w:r>
      <w:proofErr w:type="gramStart"/>
      <w:r>
        <w:rPr>
          <w:rFonts w:ascii="仿宋" w:eastAsia="仿宋" w:hAnsi="仿宋" w:cs="Arial" w:hint="eastAsia"/>
          <w:kern w:val="0"/>
          <w:sz w:val="24"/>
          <w:szCs w:val="24"/>
        </w:rPr>
        <w:t>系列</w:t>
      </w:r>
      <w:r>
        <w:rPr>
          <w:rFonts w:ascii="仿宋" w:eastAsia="仿宋" w:hAnsi="仿宋" w:cs="Arial" w:hint="eastAsia"/>
          <w:kern w:val="0"/>
          <w:sz w:val="24"/>
          <w:szCs w:val="24"/>
        </w:rPr>
        <w:t>微课</w:t>
      </w:r>
      <w:r>
        <w:rPr>
          <w:rFonts w:ascii="仿宋" w:eastAsia="仿宋" w:hAnsi="仿宋" w:cs="Arial"/>
          <w:kern w:val="0"/>
          <w:sz w:val="24"/>
          <w:szCs w:val="24"/>
        </w:rPr>
        <w:t>评分</w:t>
      </w:r>
      <w:proofErr w:type="gramEnd"/>
      <w:r>
        <w:rPr>
          <w:rFonts w:ascii="仿宋" w:eastAsia="仿宋" w:hAnsi="仿宋" w:cs="Arial"/>
          <w:kern w:val="0"/>
          <w:sz w:val="24"/>
          <w:szCs w:val="24"/>
        </w:rPr>
        <w:t>标准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5245"/>
        <w:gridCol w:w="901"/>
      </w:tblGrid>
      <w:tr w:rsidR="00672CC1">
        <w:tc>
          <w:tcPr>
            <w:tcW w:w="1526" w:type="dxa"/>
            <w:vAlign w:val="center"/>
          </w:tcPr>
          <w:p w:rsidR="00672CC1" w:rsidRDefault="00420ED4">
            <w:pPr>
              <w:widowControl/>
              <w:shd w:val="clear" w:color="auto" w:fill="FFFFFF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评选指标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分值</w:t>
            </w:r>
          </w:p>
        </w:tc>
        <w:tc>
          <w:tcPr>
            <w:tcW w:w="5245" w:type="dxa"/>
            <w:vAlign w:val="center"/>
          </w:tcPr>
          <w:p w:rsidR="00672CC1" w:rsidRDefault="00420ED4">
            <w:pPr>
              <w:widowControl/>
              <w:shd w:val="clear" w:color="auto" w:fill="FFFFFF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评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价</w:t>
            </w: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要素</w:t>
            </w:r>
          </w:p>
        </w:tc>
        <w:tc>
          <w:tcPr>
            <w:tcW w:w="901" w:type="dxa"/>
            <w:vAlign w:val="center"/>
          </w:tcPr>
          <w:p w:rsidR="00672CC1" w:rsidRDefault="00420ED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评分</w:t>
            </w: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教学定位</w:t>
            </w:r>
          </w:p>
          <w:p w:rsidR="00672CC1" w:rsidRDefault="00420ED4">
            <w:pPr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与目标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672CC1" w:rsidRDefault="00420ED4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教学目标明确，围绕某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一教学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项目，将教学项目分解为若干模块，模块分解为若干子任务，每一子任务对应一个或多个知识点与技能点，最终以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一节微课的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形式呈现。</w:t>
            </w:r>
          </w:p>
          <w:p w:rsidR="00672CC1" w:rsidRDefault="00420ED4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符合认知规律，教学项目的学习内容、过程及扩展素材，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教学内容利于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信息化教学和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视频展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系列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微课数量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及每个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微课时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长符合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要求。</w:t>
            </w:r>
          </w:p>
        </w:tc>
        <w:tc>
          <w:tcPr>
            <w:tcW w:w="901" w:type="dxa"/>
          </w:tcPr>
          <w:p w:rsidR="00672CC1" w:rsidRDefault="00672CC1">
            <w:pPr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lastRenderedPageBreak/>
              <w:t>教学设计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1.</w:t>
            </w:r>
            <w:proofErr w:type="gramStart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系列微课的</w:t>
            </w:r>
            <w:proofErr w:type="gramEnd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教学设计应是教学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项目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的教学设计，其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本身知识</w:t>
            </w:r>
            <w:proofErr w:type="gramStart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点教学</w:t>
            </w:r>
            <w:proofErr w:type="gramEnd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顺序，每</w:t>
            </w:r>
            <w:proofErr w:type="gramStart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一节微课对应</w:t>
            </w:r>
            <w:proofErr w:type="gramEnd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项目中的一部分开发内容，每节</w:t>
            </w:r>
            <w:proofErr w:type="gramStart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微课独立</w:t>
            </w:r>
            <w:proofErr w:type="gramEnd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、完整，</w:t>
            </w:r>
            <w:proofErr w:type="gramStart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各微课</w:t>
            </w:r>
            <w:proofErr w:type="gramEnd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组合又可以完整地呈现</w:t>
            </w:r>
            <w:proofErr w:type="gramStart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本教学</w:t>
            </w:r>
            <w:proofErr w:type="gramEnd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项目知识点与技能点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提供较完整的与教学项目相关的教学设计、素材课件、教学反思、练习测试及学生反馈、</w:t>
            </w:r>
            <w:proofErr w:type="gramStart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教师占淡评等</w:t>
            </w:r>
            <w:proofErr w:type="gramEnd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辅助性教学资源。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相关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教学策略和教学方法选用恰当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合理运用信息技术手段。</w:t>
            </w:r>
          </w:p>
        </w:tc>
        <w:tc>
          <w:tcPr>
            <w:tcW w:w="901" w:type="dxa"/>
          </w:tcPr>
          <w:p w:rsidR="00672CC1" w:rsidRDefault="00672CC1">
            <w:pPr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教学行为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672CC1" w:rsidRDefault="00420ED4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有机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融入思政元素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落实课程思政要求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；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教学思路清晰，重点突出，逻辑性强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解说简洁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教学过程深入浅出、形象生动、通俗易懂，充分调动学生的学习积极性。</w:t>
            </w:r>
          </w:p>
        </w:tc>
        <w:tc>
          <w:tcPr>
            <w:tcW w:w="901" w:type="dxa"/>
          </w:tcPr>
          <w:p w:rsidR="00672CC1" w:rsidRDefault="00672CC1">
            <w:pPr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教学效果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672CC1" w:rsidRDefault="00420ED4">
            <w:pPr>
              <w:pStyle w:val="a6"/>
              <w:ind w:firstLineChars="0" w:firstLine="0"/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教学设计</w:t>
            </w:r>
            <w:proofErr w:type="gramStart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与微课作品</w:t>
            </w:r>
            <w:proofErr w:type="gramEnd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内容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一致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。</w:t>
            </w:r>
          </w:p>
          <w:p w:rsidR="00672CC1" w:rsidRDefault="00420ED4">
            <w:pPr>
              <w:pStyle w:val="a6"/>
              <w:ind w:firstLineChars="0" w:firstLine="0"/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教学和信息素养目标达成度高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注重培养学生自主学习能力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项目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设计、教学安排、</w:t>
            </w:r>
            <w:r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  <w:t>课程体验与视觉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效果符合学习者移动学习和混合式教学的需求</w:t>
            </w:r>
            <w:r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901" w:type="dxa"/>
          </w:tcPr>
          <w:p w:rsidR="00672CC1" w:rsidRDefault="00672CC1">
            <w:pPr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创新与实用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形式新颖，趣味性和启发性强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2.</w:t>
            </w:r>
            <w:proofErr w:type="gramStart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视频声画质量</w:t>
            </w:r>
            <w:proofErr w:type="gramEnd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好，有字幕，关键知识点有提示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教学应用效果明显。</w:t>
            </w:r>
          </w:p>
        </w:tc>
        <w:tc>
          <w:tcPr>
            <w:tcW w:w="901" w:type="dxa"/>
          </w:tcPr>
          <w:p w:rsidR="00672CC1" w:rsidRDefault="00672CC1">
            <w:pPr>
              <w:jc w:val="lef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</w:tbl>
    <w:p w:rsidR="00672CC1" w:rsidRDefault="00672CC1">
      <w:pPr>
        <w:jc w:val="left"/>
        <w:rPr>
          <w:rFonts w:ascii="仿宋" w:eastAsia="仿宋" w:hAnsi="仿宋" w:cs="Arial"/>
          <w:kern w:val="0"/>
          <w:sz w:val="24"/>
          <w:szCs w:val="24"/>
        </w:rPr>
      </w:pPr>
    </w:p>
    <w:p w:rsidR="00672CC1" w:rsidRDefault="00420ED4">
      <w:pPr>
        <w:jc w:val="left"/>
        <w:rPr>
          <w:rFonts w:ascii="仿宋" w:eastAsia="仿宋" w:hAnsi="仿宋" w:cs="Arial"/>
          <w:kern w:val="0"/>
          <w:sz w:val="24"/>
          <w:szCs w:val="24"/>
        </w:rPr>
      </w:pPr>
      <w:r>
        <w:rPr>
          <w:rFonts w:ascii="仿宋" w:eastAsia="仿宋" w:hAnsi="仿宋" w:cs="Arial" w:hint="eastAsia"/>
          <w:kern w:val="0"/>
          <w:sz w:val="24"/>
          <w:szCs w:val="24"/>
        </w:rPr>
        <w:t>四、智慧教室应用课例</w:t>
      </w:r>
      <w:r>
        <w:rPr>
          <w:rFonts w:ascii="仿宋" w:eastAsia="仿宋" w:hAnsi="仿宋" w:cs="Arial"/>
          <w:kern w:val="0"/>
          <w:sz w:val="24"/>
          <w:szCs w:val="24"/>
        </w:rPr>
        <w:t>评分标准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5245"/>
        <w:gridCol w:w="901"/>
      </w:tblGrid>
      <w:tr w:rsidR="00672CC1">
        <w:tc>
          <w:tcPr>
            <w:tcW w:w="1526" w:type="dxa"/>
            <w:vAlign w:val="center"/>
          </w:tcPr>
          <w:p w:rsidR="00672CC1" w:rsidRDefault="00420ED4">
            <w:pPr>
              <w:widowControl/>
              <w:shd w:val="clear" w:color="auto" w:fill="FFFFFF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评选指标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分值</w:t>
            </w:r>
          </w:p>
        </w:tc>
        <w:tc>
          <w:tcPr>
            <w:tcW w:w="5245" w:type="dxa"/>
            <w:vAlign w:val="center"/>
          </w:tcPr>
          <w:p w:rsidR="00672CC1" w:rsidRDefault="00420ED4">
            <w:pPr>
              <w:widowControl/>
              <w:shd w:val="clear" w:color="auto" w:fill="FFFFFF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评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价</w:t>
            </w: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要素</w:t>
            </w:r>
          </w:p>
        </w:tc>
        <w:tc>
          <w:tcPr>
            <w:tcW w:w="901" w:type="dxa"/>
            <w:vAlign w:val="center"/>
          </w:tcPr>
          <w:p w:rsidR="00672CC1" w:rsidRDefault="00420ED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评分</w:t>
            </w: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案例内容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应用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课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例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主要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体现在课堂上利用先进的信息技术手段实现课堂教学的信息化、智能化，构成富有智慧的教学环境，其根本任务是“开发学生的智慧”。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应用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课例应体现教育目标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由工具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性向人本性目标转化过程，是人本导向的课堂。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应用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课例应体现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教学关系是教为主向学为主的转化过程，体在教法是讲解、启发、讨论、参与的整合，是实用导向的课堂；学法是接受、探究、合作、自主的循环，是适性导向和课堂。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应用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课例应体现教学过程是课标、教学、效果、评价、反思、技术的匹配，是融合导向的课堂。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案。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充分运用教学大数据，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云技术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客观收集师生教学信息，关注教与学全过程信息采集，以数据指导课程教学改革。</w:t>
            </w:r>
          </w:p>
          <w:p w:rsidR="00672CC1" w:rsidRDefault="00420ED4">
            <w:pPr>
              <w:jc w:val="left"/>
              <w:rPr>
                <w:rFonts w:ascii="仿宋" w:eastAsia="仿宋" w:hAnsi="仿宋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lastRenderedPageBreak/>
              <w:t>5.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应用课</w:t>
            </w:r>
            <w:proofErr w:type="gramStart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例内容</w:t>
            </w:r>
            <w:proofErr w:type="gramEnd"/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是一门课程的信息化教学实践与总结，需经过至少一个学期以上教育教学实践检验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901" w:type="dxa"/>
          </w:tcPr>
          <w:p w:rsidR="00672CC1" w:rsidRDefault="00672C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信息化教学设计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</w:t>
            </w:r>
          </w:p>
        </w:tc>
        <w:tc>
          <w:tcPr>
            <w:tcW w:w="5245" w:type="dxa"/>
          </w:tcPr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提交与应用课例的教学设计、教学资源、课件及相关佐证材料。</w:t>
            </w:r>
            <w:r>
              <w:rPr>
                <w:rFonts w:ascii="仿宋" w:eastAsia="仿宋" w:hAnsi="仿宋"/>
                <w:sz w:val="24"/>
                <w:szCs w:val="24"/>
              </w:rPr>
              <w:t>有机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融入思政元素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落实课程思政要求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教师活动：充分利用信息技术的优势调控教学活动；包括课前、课中、课后的设计和实施，对学生学习的信息化评价等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学生活动：学生通过运用信息技术，积极主动参与学习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师生互动：充分体现教法与学法的运用。</w:t>
            </w:r>
          </w:p>
        </w:tc>
        <w:tc>
          <w:tcPr>
            <w:tcW w:w="901" w:type="dxa"/>
          </w:tcPr>
          <w:p w:rsidR="00672CC1" w:rsidRDefault="00672C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教学效果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按照教学设计实施教学，信息技术在突破教学重点、难点中效果突出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672CC1" w:rsidRDefault="00420ED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仿宋" w:eastAsia="仿宋" w:hAnsi="仿宋" w:cs="Arial" w:hint="eastAsia"/>
                <w:color w:val="191919"/>
                <w:sz w:val="24"/>
                <w:szCs w:val="24"/>
                <w:shd w:val="clear" w:color="auto" w:fill="FFFFFF"/>
              </w:rPr>
              <w:t>教学模式有创新，给师生深刻的教学体验，有较大的借鉴和推广价值。</w:t>
            </w:r>
          </w:p>
        </w:tc>
        <w:tc>
          <w:tcPr>
            <w:tcW w:w="901" w:type="dxa"/>
          </w:tcPr>
          <w:p w:rsidR="00672CC1" w:rsidRDefault="00672C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2CC1">
        <w:tc>
          <w:tcPr>
            <w:tcW w:w="1526" w:type="dxa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教学反思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672CC1" w:rsidRDefault="00420ED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深刻反思教与学的成效与不足，提出教</w:t>
            </w:r>
            <w:r>
              <w:rPr>
                <w:rFonts w:ascii="仿宋" w:eastAsia="仿宋" w:hAnsi="仿宋"/>
                <w:sz w:val="24"/>
                <w:szCs w:val="24"/>
              </w:rPr>
              <w:t>学设计与课堂实施的改进设想。</w:t>
            </w:r>
          </w:p>
        </w:tc>
        <w:tc>
          <w:tcPr>
            <w:tcW w:w="901" w:type="dxa"/>
          </w:tcPr>
          <w:p w:rsidR="00672CC1" w:rsidRDefault="00672C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2CC1">
        <w:tc>
          <w:tcPr>
            <w:tcW w:w="1526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提供材料</w:t>
            </w:r>
          </w:p>
        </w:tc>
        <w:tc>
          <w:tcPr>
            <w:tcW w:w="850" w:type="dxa"/>
            <w:vAlign w:val="center"/>
          </w:tcPr>
          <w:p w:rsidR="00672CC1" w:rsidRDefault="00420E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672CC1" w:rsidRDefault="00420ED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提供符合文件要求的材料。包括：申报书、课程教学大纲、教学设计材料、课堂教学视频及相关佐证材料。</w:t>
            </w:r>
          </w:p>
        </w:tc>
        <w:tc>
          <w:tcPr>
            <w:tcW w:w="901" w:type="dxa"/>
          </w:tcPr>
          <w:p w:rsidR="00672CC1" w:rsidRDefault="00672CC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72CC1" w:rsidRDefault="00672CC1">
      <w:pPr>
        <w:jc w:val="left"/>
        <w:rPr>
          <w:rFonts w:ascii="仿宋" w:eastAsia="仿宋" w:hAnsi="仿宋"/>
          <w:sz w:val="24"/>
          <w:szCs w:val="24"/>
        </w:rPr>
      </w:pPr>
    </w:p>
    <w:sectPr w:rsidR="00672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3EE621"/>
    <w:multiLevelType w:val="singleLevel"/>
    <w:tmpl w:val="EE3EE62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3BB75D"/>
    <w:multiLevelType w:val="singleLevel"/>
    <w:tmpl w:val="6E3BB75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F1"/>
    <w:rsid w:val="00032E04"/>
    <w:rsid w:val="00064C4F"/>
    <w:rsid w:val="00081EC1"/>
    <w:rsid w:val="000962A7"/>
    <w:rsid w:val="00102BC5"/>
    <w:rsid w:val="0014039B"/>
    <w:rsid w:val="00172E91"/>
    <w:rsid w:val="00172EE0"/>
    <w:rsid w:val="00204859"/>
    <w:rsid w:val="00266ED0"/>
    <w:rsid w:val="00297B9D"/>
    <w:rsid w:val="002E6DB8"/>
    <w:rsid w:val="00302075"/>
    <w:rsid w:val="00386DE9"/>
    <w:rsid w:val="003A0829"/>
    <w:rsid w:val="00420ED4"/>
    <w:rsid w:val="004E4660"/>
    <w:rsid w:val="00595421"/>
    <w:rsid w:val="005F0223"/>
    <w:rsid w:val="0061002F"/>
    <w:rsid w:val="00672CC1"/>
    <w:rsid w:val="00747B03"/>
    <w:rsid w:val="007842B5"/>
    <w:rsid w:val="00792663"/>
    <w:rsid w:val="008065F1"/>
    <w:rsid w:val="00862243"/>
    <w:rsid w:val="008A6BAE"/>
    <w:rsid w:val="008D4D07"/>
    <w:rsid w:val="00992015"/>
    <w:rsid w:val="009F69F5"/>
    <w:rsid w:val="00A87241"/>
    <w:rsid w:val="00AB56A7"/>
    <w:rsid w:val="00AF7FDB"/>
    <w:rsid w:val="00B75713"/>
    <w:rsid w:val="00C064C6"/>
    <w:rsid w:val="00C36F62"/>
    <w:rsid w:val="00CE7E4F"/>
    <w:rsid w:val="00D02859"/>
    <w:rsid w:val="00D03903"/>
    <w:rsid w:val="00D852DD"/>
    <w:rsid w:val="00D865F0"/>
    <w:rsid w:val="00DB0E6D"/>
    <w:rsid w:val="00DB2C40"/>
    <w:rsid w:val="00E11E20"/>
    <w:rsid w:val="00E92196"/>
    <w:rsid w:val="00F62B28"/>
    <w:rsid w:val="00FB1F6A"/>
    <w:rsid w:val="00FD4C99"/>
    <w:rsid w:val="15A06D02"/>
    <w:rsid w:val="15A116E7"/>
    <w:rsid w:val="1D9C711A"/>
    <w:rsid w:val="3E11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282876-11B3-4037-8E90-06E64FAD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409</Words>
  <Characters>2333</Characters>
  <Application>Microsoft Office Word</Application>
  <DocSecurity>0</DocSecurity>
  <Lines>19</Lines>
  <Paragraphs>5</Paragraphs>
  <ScaleCrop>false</ScaleCrop>
  <Company>微软公司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2021-07-22T07:59:00Z</dcterms:created>
  <dcterms:modified xsi:type="dcterms:W3CDTF">2021-07-22T07:59:00Z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